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83" w:rsidRPr="00517A82" w:rsidRDefault="00B00583" w:rsidP="00370E73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517A82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417F10" w:rsidRPr="00517A82">
        <w:rPr>
          <w:rFonts w:ascii="Times New Roman" w:hAnsi="Times New Roman"/>
          <w:b/>
          <w:i/>
          <w:sz w:val="24"/>
          <w:szCs w:val="24"/>
        </w:rPr>
        <w:t>2</w:t>
      </w:r>
    </w:p>
    <w:p w:rsidR="00B00583" w:rsidRPr="00517A82" w:rsidRDefault="00B00583" w:rsidP="00370E73">
      <w:pPr>
        <w:jc w:val="both"/>
        <w:rPr>
          <w:rFonts w:ascii="Times New Roman" w:hAnsi="Times New Roman"/>
          <w:b/>
          <w:sz w:val="24"/>
          <w:szCs w:val="24"/>
        </w:rPr>
      </w:pPr>
    </w:p>
    <w:p w:rsidR="00FA6DF8" w:rsidRPr="00517A82" w:rsidRDefault="00FA6DF8" w:rsidP="00407672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407672">
        <w:rPr>
          <w:rFonts w:ascii="Times New Roman" w:hAnsi="Times New Roman"/>
          <w:b/>
          <w:smallCaps/>
          <w:sz w:val="24"/>
          <w:szCs w:val="24"/>
        </w:rPr>
        <w:t>Opis przedmiotu zamówienia oraz wytyczne dotyczące digitalizacji</w:t>
      </w:r>
    </w:p>
    <w:p w:rsidR="00FA6DF8" w:rsidRPr="00517A82" w:rsidRDefault="00FA6DF8" w:rsidP="00370E73">
      <w:pPr>
        <w:spacing w:after="0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FA6DF8" w:rsidRPr="00517A82" w:rsidRDefault="00FA6DF8" w:rsidP="00370E73">
      <w:pPr>
        <w:spacing w:after="0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B00583" w:rsidRPr="001C7050" w:rsidRDefault="0017263B" w:rsidP="00370E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7A82">
        <w:rPr>
          <w:rFonts w:ascii="Times New Roman" w:hAnsi="Times New Roman"/>
          <w:sz w:val="24"/>
          <w:szCs w:val="24"/>
          <w:u w:val="single"/>
        </w:rPr>
        <w:t>Dotyczy</w:t>
      </w:r>
      <w:r w:rsidRPr="00517A82">
        <w:rPr>
          <w:rFonts w:ascii="Times New Roman" w:hAnsi="Times New Roman"/>
          <w:sz w:val="24"/>
          <w:szCs w:val="24"/>
        </w:rPr>
        <w:t>: postępowania</w:t>
      </w:r>
      <w:r w:rsidR="005E0434" w:rsidRPr="00517A82">
        <w:rPr>
          <w:rFonts w:ascii="Times New Roman" w:hAnsi="Times New Roman"/>
          <w:sz w:val="24"/>
          <w:szCs w:val="24"/>
        </w:rPr>
        <w:t xml:space="preserve"> o udzie</w:t>
      </w:r>
      <w:r w:rsidR="00FA6DF8" w:rsidRPr="00517A82">
        <w:rPr>
          <w:rFonts w:ascii="Times New Roman" w:hAnsi="Times New Roman"/>
          <w:sz w:val="24"/>
          <w:szCs w:val="24"/>
        </w:rPr>
        <w:t xml:space="preserve">lenie zamówienia publicznego pn.: </w:t>
      </w:r>
      <w:r w:rsidR="005535B5" w:rsidRPr="005535B5">
        <w:rPr>
          <w:rFonts w:ascii="Times New Roman" w:hAnsi="Times New Roman"/>
          <w:b/>
          <w:sz w:val="24"/>
          <w:szCs w:val="24"/>
        </w:rPr>
        <w:t xml:space="preserve">Digitalizacja katalogów kartkowych Centralnej Biblioteki Geografii i Ochrony Środowiska w Instytucie Geografii i PZ PAN oraz dostarczenie oprogramowania bazodanowego do prezentowania tych katalogów na stronie </w:t>
      </w:r>
      <w:proofErr w:type="spellStart"/>
      <w:r w:rsidR="005535B5" w:rsidRPr="005535B5">
        <w:rPr>
          <w:rFonts w:ascii="Times New Roman" w:hAnsi="Times New Roman"/>
          <w:b/>
          <w:sz w:val="24"/>
          <w:szCs w:val="24"/>
        </w:rPr>
        <w:t>www</w:t>
      </w:r>
      <w:proofErr w:type="spellEnd"/>
      <w:r w:rsidR="005535B5" w:rsidRPr="005535B5">
        <w:rPr>
          <w:rFonts w:ascii="Times New Roman" w:hAnsi="Times New Roman"/>
          <w:b/>
          <w:sz w:val="24"/>
          <w:szCs w:val="24"/>
        </w:rPr>
        <w:t xml:space="preserve"> Biblioteki</w:t>
      </w:r>
      <w:r w:rsidR="00407672" w:rsidRPr="001C7050">
        <w:rPr>
          <w:rFonts w:ascii="Times New Roman" w:hAnsi="Times New Roman"/>
          <w:b/>
          <w:sz w:val="24"/>
          <w:szCs w:val="24"/>
        </w:rPr>
        <w:t xml:space="preserve">, </w:t>
      </w:r>
      <w:r w:rsidR="00407672" w:rsidRPr="001C7050">
        <w:rPr>
          <w:rFonts w:ascii="Times New Roman" w:hAnsi="Times New Roman"/>
          <w:sz w:val="24"/>
          <w:szCs w:val="24"/>
        </w:rPr>
        <w:t>znak sprawy: AD-262-2/2020.</w:t>
      </w:r>
    </w:p>
    <w:p w:rsidR="00F2609F" w:rsidRPr="001C7050" w:rsidRDefault="00F2609F" w:rsidP="00370E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1E80" w:rsidRPr="001C7050" w:rsidRDefault="009D261C" w:rsidP="000136F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AE8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obejmuje usługę polegającą na zeskanowaniu na </w:t>
      </w:r>
      <w:r w:rsidRPr="00FA510B">
        <w:rPr>
          <w:rFonts w:ascii="Times New Roman" w:hAnsi="Times New Roman"/>
          <w:sz w:val="24"/>
          <w:szCs w:val="24"/>
        </w:rPr>
        <w:t>sprzęcie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Wykonawcy, w siedzibie Zamawiającego wybranych katalogów kartkowych Centralnej Biblioteki Geografii i Ochrony Środowiska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IGiPZ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PAN, zwanej dalej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oraz dostarczenie oprogramowania bazodanowego do prezentowania tych katalogów na stronie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www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Biblioteki, do zainstalowania na serwerze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IGiPZ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PAN. </w:t>
      </w:r>
    </w:p>
    <w:p w:rsidR="002D1E80" w:rsidRPr="001C7050" w:rsidRDefault="002D1E80" w:rsidP="002D1E80">
      <w:pPr>
        <w:pStyle w:val="Akapitzlist"/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1E80" w:rsidRPr="001C7050" w:rsidRDefault="002D1E80" w:rsidP="000136F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niniejszego zamówienia realizowany będzie w terminie </w:t>
      </w:r>
      <w:r w:rsidR="00A115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od daty podpisania umowy jednak nie wcześniej niż od </w:t>
      </w:r>
      <w:r w:rsidR="00C563B5">
        <w:rPr>
          <w:rFonts w:ascii="Times New Roman" w:eastAsia="Times New Roman" w:hAnsi="Times New Roman"/>
          <w:sz w:val="24"/>
          <w:szCs w:val="24"/>
          <w:lang w:eastAsia="pl-PL"/>
        </w:rPr>
        <w:t>1 sierpnia 2020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r. oraz nie później niż </w:t>
      </w:r>
      <w:r w:rsidR="00C563B5">
        <w:rPr>
          <w:rFonts w:ascii="Times New Roman" w:eastAsia="Times New Roman" w:hAnsi="Times New Roman"/>
          <w:sz w:val="24"/>
          <w:szCs w:val="24"/>
          <w:lang w:eastAsia="pl-PL"/>
        </w:rPr>
        <w:t>30 listopada 2020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2D1E80" w:rsidRPr="001C7050" w:rsidRDefault="002D1E80" w:rsidP="002D1E80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1E80" w:rsidRPr="00C563B5" w:rsidRDefault="002D1E80" w:rsidP="000136F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udzieli Zamawiającemu gwarancji jakości wykonania przedmiotu zamówienia na minimum </w:t>
      </w:r>
      <w:r w:rsidRPr="00C563B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36 miesięcy</w:t>
      </w:r>
      <w:r w:rsidRPr="00C563B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D1E80" w:rsidRPr="001C7050" w:rsidRDefault="002D1E80" w:rsidP="002D1E80">
      <w:pPr>
        <w:pStyle w:val="Akapitzlist"/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Okres gwarancji rozpoczyna swój bieg od daty podpisania</w:t>
      </w:r>
      <w:r w:rsidR="00EE082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0826" w:rsidRPr="00C563B5">
        <w:rPr>
          <w:rFonts w:ascii="Times New Roman" w:eastAsia="Times New Roman" w:hAnsi="Times New Roman"/>
          <w:sz w:val="24"/>
          <w:szCs w:val="24"/>
          <w:lang w:eastAsia="pl-PL"/>
        </w:rPr>
        <w:t xml:space="preserve">końcowego </w:t>
      </w:r>
      <w:r w:rsidRPr="00C563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Protokołu odbioru, który stanowi załącznik do Wzoru umowy (Załącznik nr 3 do SIWZ).</w:t>
      </w:r>
    </w:p>
    <w:p w:rsidR="002D1E80" w:rsidRPr="00B0794E" w:rsidRDefault="002D1E80" w:rsidP="002D1E80">
      <w:pPr>
        <w:pStyle w:val="Akapitzlist"/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12"/>
          <w:szCs w:val="24"/>
          <w:lang w:eastAsia="pl-PL"/>
        </w:rPr>
      </w:pPr>
    </w:p>
    <w:p w:rsidR="002D1E80" w:rsidRPr="00C343A9" w:rsidRDefault="002D1E80" w:rsidP="002D1E80">
      <w:pPr>
        <w:pStyle w:val="Akapitzlist"/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343A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Uwaga !!! </w:t>
      </w:r>
    </w:p>
    <w:p w:rsidR="002D1E80" w:rsidRPr="00C343A9" w:rsidRDefault="002D1E80" w:rsidP="002D1E80">
      <w:pPr>
        <w:pStyle w:val="Akapitzlist"/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43A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rozumie gwarancję jako konieczność </w:t>
      </w:r>
      <w:r w:rsidR="0015681B" w:rsidRPr="00C343A9">
        <w:rPr>
          <w:rFonts w:ascii="Times New Roman" w:eastAsia="Times New Roman" w:hAnsi="Times New Roman"/>
          <w:sz w:val="24"/>
          <w:szCs w:val="24"/>
          <w:lang w:eastAsia="pl-PL"/>
        </w:rPr>
        <w:t>ewentualnego ponownego zeskanowania</w:t>
      </w:r>
      <w:r w:rsidR="008A2779" w:rsidRPr="00C343A9">
        <w:rPr>
          <w:rFonts w:ascii="Times New Roman" w:eastAsia="Times New Roman" w:hAnsi="Times New Roman"/>
          <w:sz w:val="24"/>
          <w:szCs w:val="24"/>
          <w:lang w:eastAsia="pl-PL"/>
        </w:rPr>
        <w:t xml:space="preserve"> karty katalogowej</w:t>
      </w:r>
      <w:r w:rsidR="0015681B" w:rsidRPr="00C343A9">
        <w:rPr>
          <w:rFonts w:ascii="Times New Roman" w:eastAsia="Times New Roman" w:hAnsi="Times New Roman"/>
          <w:sz w:val="24"/>
          <w:szCs w:val="24"/>
          <w:lang w:eastAsia="pl-PL"/>
        </w:rPr>
        <w:t xml:space="preserve"> i podmienienia przez Wykonawcę zakwestionowanego </w:t>
      </w:r>
      <w:proofErr w:type="spellStart"/>
      <w:r w:rsidR="0015681B" w:rsidRPr="00C343A9">
        <w:rPr>
          <w:rFonts w:ascii="Times New Roman" w:eastAsia="Times New Roman" w:hAnsi="Times New Roman"/>
          <w:sz w:val="24"/>
          <w:szCs w:val="24"/>
          <w:lang w:eastAsia="pl-PL"/>
        </w:rPr>
        <w:t>skanu</w:t>
      </w:r>
      <w:proofErr w:type="spellEnd"/>
      <w:r w:rsidR="0015681B" w:rsidRPr="00C343A9">
        <w:rPr>
          <w:rFonts w:ascii="Times New Roman" w:eastAsia="Times New Roman" w:hAnsi="Times New Roman"/>
          <w:sz w:val="24"/>
          <w:szCs w:val="24"/>
          <w:lang w:eastAsia="pl-PL"/>
        </w:rPr>
        <w:t xml:space="preserve"> lub przekazaniu poprawnego </w:t>
      </w:r>
      <w:proofErr w:type="spellStart"/>
      <w:r w:rsidR="0015681B" w:rsidRPr="00C343A9">
        <w:rPr>
          <w:rFonts w:ascii="Times New Roman" w:eastAsia="Times New Roman" w:hAnsi="Times New Roman"/>
          <w:sz w:val="24"/>
          <w:szCs w:val="24"/>
          <w:lang w:eastAsia="pl-PL"/>
        </w:rPr>
        <w:t>skanu</w:t>
      </w:r>
      <w:proofErr w:type="spellEnd"/>
      <w:r w:rsidR="0015681B" w:rsidRPr="00C343A9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Zamawiającemu. </w:t>
      </w:r>
      <w:r w:rsidRPr="00C343A9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AC71C9" w:rsidRPr="001C7050" w:rsidRDefault="00AC71C9" w:rsidP="00AC71C9">
      <w:pPr>
        <w:pStyle w:val="Akapitzlist"/>
        <w:spacing w:before="100" w:beforeAutospacing="1" w:after="100" w:afterAutospacing="1"/>
        <w:ind w:left="7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261C" w:rsidRPr="001C7050" w:rsidRDefault="009D261C" w:rsidP="000136F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Na zamówienie składają się </w:t>
      </w:r>
    </w:p>
    <w:p w:rsidR="00A81AE8" w:rsidRPr="001C7050" w:rsidRDefault="00A81AE8" w:rsidP="00407672">
      <w:pPr>
        <w:pStyle w:val="Akapitzlist"/>
        <w:spacing w:after="0"/>
        <w:ind w:left="7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7A82" w:rsidRPr="001C7050" w:rsidRDefault="009D261C" w:rsidP="000136FF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Zeskanowanie na sprzęcie </w:t>
      </w:r>
      <w:r w:rsidR="005F6B5D" w:rsidRPr="001C7050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, wg wyznaczonych wymogów, kart katalogowych z niżej wymienionych katalogów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81AE8" w:rsidRPr="001C7050" w:rsidRDefault="00A81AE8" w:rsidP="000136FF">
      <w:pPr>
        <w:pStyle w:val="Akapitzlist"/>
        <w:numPr>
          <w:ilvl w:val="0"/>
          <w:numId w:val="3"/>
        </w:numPr>
        <w:tabs>
          <w:tab w:val="left" w:pos="1418"/>
        </w:tabs>
        <w:spacing w:before="100" w:beforeAutospacing="1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Katalogu alfabetycznego druków zwartych </w:t>
      </w:r>
    </w:p>
    <w:p w:rsidR="00A81AE8" w:rsidRPr="001C7050" w:rsidRDefault="00A81AE8" w:rsidP="000136FF">
      <w:pPr>
        <w:pStyle w:val="Akapitzlist"/>
        <w:numPr>
          <w:ilvl w:val="0"/>
          <w:numId w:val="3"/>
        </w:numPr>
        <w:tabs>
          <w:tab w:val="left" w:pos="1418"/>
        </w:tabs>
        <w:spacing w:before="100" w:beforeAutospacing="1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Katalogu systematycznego, </w:t>
      </w:r>
    </w:p>
    <w:p w:rsidR="00A81AE8" w:rsidRPr="001C7050" w:rsidRDefault="00A81AE8" w:rsidP="000136FF">
      <w:pPr>
        <w:pStyle w:val="Akapitzlist"/>
        <w:numPr>
          <w:ilvl w:val="0"/>
          <w:numId w:val="3"/>
        </w:numPr>
        <w:tabs>
          <w:tab w:val="left" w:pos="1418"/>
        </w:tabs>
        <w:spacing w:before="100" w:beforeAutospacing="1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Katalogu regionalnego, </w:t>
      </w:r>
    </w:p>
    <w:p w:rsidR="00A81AE8" w:rsidRPr="001C7050" w:rsidRDefault="00A81AE8" w:rsidP="000136FF">
      <w:pPr>
        <w:pStyle w:val="Akapitzlist"/>
        <w:numPr>
          <w:ilvl w:val="0"/>
          <w:numId w:val="3"/>
        </w:numPr>
        <w:tabs>
          <w:tab w:val="left" w:pos="1418"/>
        </w:tabs>
        <w:spacing w:before="100" w:beforeAutospacing="1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Katalogu czasopism, </w:t>
      </w:r>
    </w:p>
    <w:p w:rsidR="00A81AE8" w:rsidRPr="001C7050" w:rsidRDefault="00A81AE8" w:rsidP="000136FF">
      <w:pPr>
        <w:pStyle w:val="Akapitzlist"/>
        <w:numPr>
          <w:ilvl w:val="0"/>
          <w:numId w:val="3"/>
        </w:numPr>
        <w:tabs>
          <w:tab w:val="left" w:pos="1418"/>
        </w:tabs>
        <w:spacing w:before="100" w:beforeAutospacing="1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Katalogu dokumentów kartograficznych. </w:t>
      </w:r>
    </w:p>
    <w:p w:rsidR="00A81AE8" w:rsidRPr="001C7050" w:rsidRDefault="00A81AE8" w:rsidP="00FF14C3">
      <w:pPr>
        <w:pStyle w:val="Akapitzlist"/>
        <w:spacing w:before="100" w:beforeAutospacing="1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Przeznaczone do zeskanowania karty katalogowe znajdują się w 984 skrzynkach katalogowych. Liczbę. kart w katalogach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oszacowano na około 700 tys.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Katalogi mają odrębną strukturę i wymiary kart, które mają być odwzorowane w</w:t>
      </w:r>
      <w:r w:rsidR="00C62F2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systemie bazodanowym, w układzie ustalonym z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. Dla zobrazowania skali złożoności struktury katalogów </w:t>
      </w:r>
      <w:r w:rsidR="00DC15EF"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załączył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przykładow</w:t>
      </w:r>
      <w:r w:rsidR="008A2779" w:rsidRPr="001C705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struktur</w:t>
      </w:r>
      <w:r w:rsidR="008A2779" w:rsidRPr="001C7050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 (spis przekładek) Katalogów systematycznego i regionalnego</w:t>
      </w:r>
      <w:r w:rsidR="00DC15EF"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stanowiący załącznik nr 8 i 9 do SIWZ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A2779"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81AE8" w:rsidRPr="001C7050" w:rsidRDefault="009D261C" w:rsidP="000136FF">
      <w:pPr>
        <w:pStyle w:val="Akapitzlist"/>
        <w:numPr>
          <w:ilvl w:val="0"/>
          <w:numId w:val="2"/>
        </w:numPr>
        <w:spacing w:before="100" w:beforeAutospacing="1" w:after="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Dostarczenie oprogramowania bazodanowego. Przed rozpoczęciem skanowania kart katalogowych w wyznaczonym przez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terminie, uzgodnionym z wykonawcą Wykonawca zobowiązany jest do dostarczenia oprogramowania i dokumentacji do oprogramowania.</w:t>
      </w:r>
      <w:r w:rsidR="00D923E1"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D923E1" w:rsidRPr="001C7050">
        <w:rPr>
          <w:rFonts w:ascii="Times New Roman" w:eastAsia="Times New Roman" w:hAnsi="Times New Roman"/>
          <w:sz w:val="24"/>
          <w:szCs w:val="24"/>
          <w:lang w:eastAsia="pl-PL"/>
        </w:rPr>
        <w:t>zobowiązany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jest także do doraźnej pomocy w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wypadku problemów przy instalacji tego oprogramowania na serwerze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IGiPZ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PAN w Warszawie. Wraz z oprogramowaniem i bezterminową licencją na jego użytkowanie, Wykonawca dostarcza również instrukcję dotyczącą użytkowania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administrowania oprogramowaniem.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prawo do </w:t>
      </w:r>
      <w:r w:rsidR="00DD672B" w:rsidRPr="00C563B5"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ewentualnej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modyfikacji oprogramowania bazodanowego.  W związku z powyższym udzielona </w:t>
      </w:r>
      <w:r w:rsidR="00DD672B" w:rsidRPr="00C563B5">
        <w:rPr>
          <w:rFonts w:ascii="Times New Roman" w:eastAsia="Times New Roman" w:hAnsi="Times New Roman"/>
          <w:sz w:val="24"/>
          <w:szCs w:val="24"/>
          <w:lang w:eastAsia="pl-PL"/>
        </w:rPr>
        <w:t xml:space="preserve">bezterminowa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licencja musi umożliwiać taką modyfikację.</w:t>
      </w:r>
    </w:p>
    <w:p w:rsidR="00A81AE8" w:rsidRPr="001C7050" w:rsidRDefault="009D261C" w:rsidP="000136FF">
      <w:pPr>
        <w:pStyle w:val="Akapitzlist"/>
        <w:numPr>
          <w:ilvl w:val="0"/>
          <w:numId w:val="2"/>
        </w:numPr>
        <w:spacing w:before="100" w:beforeAutospacing="1" w:after="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udostępni Wykonawcy pomieszczenie w którym będzie można wykonywać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skany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katalogów. Kolejne partie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skanów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przekazywać będzie Zamawiającemu usystematyzowane w strukturę katalogów </w:t>
      </w:r>
      <w:r w:rsidR="00DD672B" w:rsidRPr="00C563B5">
        <w:rPr>
          <w:rFonts w:ascii="Times New Roman" w:eastAsia="Times New Roman" w:hAnsi="Times New Roman"/>
          <w:sz w:val="24"/>
          <w:szCs w:val="24"/>
          <w:lang w:eastAsia="pl-PL"/>
        </w:rPr>
        <w:t xml:space="preserve">komputerowych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odpowiadającą strukturze poszczególnych katalogów kartkowych. Zarówno nazewnictwo katalogów komputerowych jak i pojedynczego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skanu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kartki katalogowej powinno pozwolić jednoznacznie określić z jakiego katalogu kartkowego i jakiej jego skrzynki, a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przypadku katalogu systematycznego i</w:t>
      </w:r>
      <w:r w:rsidR="005535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regionalnego z jakiego działu pochodzą zgromadzone w danym katalogu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skany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kartek katalogowych czy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pojedynczej karty. Tak usystematyzowane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skany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będą podlegać bieżącej kontroli jakości</w:t>
      </w:r>
      <w:r w:rsidR="002F2DF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wykonywanej przez Zamawiającego. Także udostępnione w dostarczonym oprogramowaniu bazodanowym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skany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kart katalogowych powinny zachować układ poszczególnych, wymienionych wyżej katalogów, tj. ich logiczny podział na litery lub działy  w obrębie danego katalogu oraz przekładki, które powinny stać się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przeszukiwalnymi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indeksami. </w:t>
      </w:r>
    </w:p>
    <w:p w:rsidR="00C7293C" w:rsidRPr="001C7050" w:rsidRDefault="009D261C" w:rsidP="00C7293C">
      <w:pPr>
        <w:pStyle w:val="Akapitzlist"/>
        <w:spacing w:before="100" w:beforeAutospacing="1"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Skany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powinny być sukcesywnie przekazywane </w:t>
      </w:r>
      <w:r w:rsidR="00D923E1" w:rsidRPr="001C7050">
        <w:rPr>
          <w:rFonts w:ascii="Times New Roman" w:eastAsia="Times New Roman" w:hAnsi="Times New Roman"/>
          <w:sz w:val="24"/>
          <w:szCs w:val="24"/>
          <w:lang w:eastAsia="pl-PL"/>
        </w:rPr>
        <w:t>Zamawiającemu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do kontroli w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C563B5">
        <w:rPr>
          <w:rFonts w:ascii="Times New Roman" w:eastAsia="Times New Roman" w:hAnsi="Times New Roman"/>
          <w:sz w:val="24"/>
          <w:szCs w:val="24"/>
          <w:lang w:eastAsia="pl-PL"/>
        </w:rPr>
        <w:t xml:space="preserve">liczbie nie mniejszej niż 70 skrzynek katalogowych na tydzień),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tj. przekazywane na nośniku zewnętrznym lub posadowione w wyznaczonym przez </w:t>
      </w:r>
      <w:r w:rsidR="00D923E1" w:rsidRPr="001C7050"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katalogu na serwerze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IGiPZ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PAN.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Skany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powinny być udostępnione celem ich kontroli i weryfikacji względem oryginału nie później niż 3 dni robocze od zwrotu danej partii skrzynek katalogowych.</w:t>
      </w:r>
    </w:p>
    <w:p w:rsidR="009D261C" w:rsidRPr="001C7050" w:rsidRDefault="009D261C" w:rsidP="00C7293C">
      <w:pPr>
        <w:pStyle w:val="Akapitzlist"/>
        <w:spacing w:before="100" w:beforeAutospacing="1"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Na koniec procesu digitalizacji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skany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powinny być dostarczone na dysku/ach przenośnych, które przejdą na własność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jako kopia bezpieczeństwa. </w:t>
      </w:r>
    </w:p>
    <w:p w:rsidR="00A81AE8" w:rsidRPr="001C7050" w:rsidRDefault="00A81AE8" w:rsidP="00370E73">
      <w:pPr>
        <w:pStyle w:val="Akapitzlist"/>
        <w:spacing w:before="100" w:beforeAutospacing="1" w:after="0"/>
        <w:ind w:left="86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5B5" w:rsidRPr="005535B5" w:rsidRDefault="005535B5" w:rsidP="005535B5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8"/>
        </w:rPr>
      </w:pPr>
      <w:r w:rsidRPr="005535B5">
        <w:rPr>
          <w:rFonts w:ascii="Times New Roman" w:hAnsi="Times New Roman"/>
          <w:sz w:val="24"/>
        </w:rPr>
        <w:t xml:space="preserve">Zamawiający informuje o możliwości przeprowadzenia przez Wykonawców wizji lokalnej celem zapoznania się ze stanem katalogów kartkowych mających być przedmiotem digitalizacji. </w:t>
      </w:r>
      <w:r w:rsidRPr="005535B5">
        <w:rPr>
          <w:rFonts w:ascii="Times New Roman" w:hAnsi="Times New Roman"/>
          <w:bCs/>
          <w:sz w:val="24"/>
        </w:rPr>
        <w:t>Wizja lokalna</w:t>
      </w:r>
      <w:r w:rsidRPr="005535B5">
        <w:rPr>
          <w:rFonts w:ascii="Times New Roman" w:hAnsi="Times New Roman"/>
          <w:b/>
          <w:bCs/>
          <w:sz w:val="24"/>
        </w:rPr>
        <w:t xml:space="preserve"> </w:t>
      </w:r>
      <w:r w:rsidRPr="005535B5">
        <w:rPr>
          <w:rFonts w:ascii="Times New Roman" w:hAnsi="Times New Roman"/>
          <w:sz w:val="24"/>
        </w:rPr>
        <w:t xml:space="preserve">zostanie przeprowadzona w dniu </w:t>
      </w:r>
      <w:r w:rsidRPr="005535B5">
        <w:rPr>
          <w:rFonts w:ascii="Times New Roman" w:hAnsi="Times New Roman"/>
          <w:b/>
          <w:sz w:val="24"/>
        </w:rPr>
        <w:t xml:space="preserve">3.07.2020 </w:t>
      </w:r>
      <w:r w:rsidRPr="005535B5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 </w:t>
      </w:r>
      <w:r w:rsidRPr="005535B5">
        <w:rPr>
          <w:rFonts w:ascii="Times New Roman" w:hAnsi="Times New Roman"/>
          <w:sz w:val="24"/>
        </w:rPr>
        <w:t xml:space="preserve">godzinie </w:t>
      </w:r>
      <w:r w:rsidRPr="005535B5">
        <w:rPr>
          <w:rFonts w:ascii="Times New Roman" w:hAnsi="Times New Roman"/>
          <w:b/>
          <w:sz w:val="24"/>
        </w:rPr>
        <w:t>10:00</w:t>
      </w:r>
      <w:r w:rsidRPr="005535B5">
        <w:rPr>
          <w:rFonts w:ascii="Times New Roman" w:hAnsi="Times New Roman"/>
          <w:sz w:val="24"/>
        </w:rPr>
        <w:t xml:space="preserve"> w Centralnej Bibliotece Geografii i Ochrony Środowiska na III piętrze </w:t>
      </w:r>
      <w:r w:rsidRPr="005535B5">
        <w:rPr>
          <w:rFonts w:ascii="Times New Roman" w:hAnsi="Times New Roman"/>
          <w:sz w:val="24"/>
        </w:rPr>
        <w:lastRenderedPageBreak/>
        <w:t>w siedzibie Instytutu, przy ul. Twardej 51/53 w Warszawie. W celu dokonania wizji lokalnej Wykonawcy zobowiązani są do  wcześniejszego kontaktu z osobą uprawnioną do kontaktowania się z wykonawcami.</w:t>
      </w:r>
    </w:p>
    <w:p w:rsidR="005535B5" w:rsidRPr="005535B5" w:rsidRDefault="005535B5" w:rsidP="005535B5">
      <w:pPr>
        <w:pStyle w:val="Akapitzlist"/>
        <w:spacing w:before="100" w:beforeAutospacing="1" w:after="0"/>
        <w:ind w:left="426"/>
        <w:jc w:val="both"/>
        <w:rPr>
          <w:rFonts w:ascii="Times New Roman" w:hAnsi="Times New Roman"/>
          <w:sz w:val="24"/>
        </w:rPr>
      </w:pPr>
    </w:p>
    <w:p w:rsidR="005535B5" w:rsidRPr="005535B5" w:rsidRDefault="005535B5" w:rsidP="005535B5">
      <w:pPr>
        <w:pStyle w:val="Akapitzlist"/>
        <w:numPr>
          <w:ilvl w:val="0"/>
          <w:numId w:val="1"/>
        </w:numPr>
        <w:spacing w:before="100" w:beforeAutospacing="1" w:after="0" w:afterAutospacing="1"/>
        <w:ind w:left="426"/>
        <w:jc w:val="both"/>
        <w:rPr>
          <w:rFonts w:ascii="Times New Roman" w:hAnsi="Times New Roman"/>
          <w:sz w:val="28"/>
        </w:rPr>
      </w:pPr>
      <w:r w:rsidRPr="005535B5">
        <w:rPr>
          <w:rFonts w:ascii="Times New Roman" w:hAnsi="Times New Roman"/>
          <w:sz w:val="24"/>
        </w:rPr>
        <w:t>Zamawiający informuje, że nie przewiduje zebrania wykonawców w celu wyjaśnienia wątpliwości dotyczących treści SIWZ, a w trakcie wizji lokalnej nie będzie udzielał odpowiedzi na pytania dotyczące treści SIWZ.</w:t>
      </w:r>
    </w:p>
    <w:p w:rsidR="00A904CD" w:rsidRPr="005535B5" w:rsidRDefault="00A904CD" w:rsidP="005535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261C" w:rsidRPr="001C7050" w:rsidRDefault="009D261C" w:rsidP="000136FF">
      <w:pPr>
        <w:pStyle w:val="Akapitzlist"/>
        <w:numPr>
          <w:ilvl w:val="0"/>
          <w:numId w:val="1"/>
        </w:numPr>
        <w:spacing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Parametry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skanów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70E73" w:rsidRPr="001C7050" w:rsidRDefault="009D261C" w:rsidP="000136FF">
      <w:pPr>
        <w:pStyle w:val="Akapitzlist"/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każda karta katalogowa stanowi odrębny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</w:t>
      </w:r>
      <w:proofErr w:type="spellEnd"/>
      <w:r w:rsidR="00160DEC" w:rsidRPr="001C705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60DEC" w:rsidRPr="001C7050" w:rsidRDefault="00160DEC" w:rsidP="000136FF">
      <w:pPr>
        <w:pStyle w:val="Akapitzlist"/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skanowanie jednostronne (awers),</w:t>
      </w:r>
    </w:p>
    <w:p w:rsidR="00517A82" w:rsidRPr="001C7050" w:rsidRDefault="009D261C" w:rsidP="000136FF">
      <w:pPr>
        <w:pStyle w:val="Akapitzlist"/>
        <w:numPr>
          <w:ilvl w:val="0"/>
          <w:numId w:val="4"/>
        </w:numPr>
        <w:tabs>
          <w:tab w:val="left" w:pos="851"/>
        </w:tabs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ma dostarczyć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skany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w dwóch strukturach katalogów</w:t>
      </w:r>
      <w:r w:rsidR="00C93363" w:rsidRPr="001C7050">
        <w:rPr>
          <w:rFonts w:ascii="Times New Roman" w:eastAsia="Times New Roman" w:hAnsi="Times New Roman"/>
          <w:sz w:val="24"/>
          <w:szCs w:val="24"/>
          <w:lang w:eastAsia="pl-PL"/>
        </w:rPr>
        <w:t>, tj.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ze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skanami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kartek katalogowych w dwóch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jakościach</w:t>
      </w:r>
      <w:proofErr w:type="spellEnd"/>
      <w:r w:rsidR="00370E73" w:rsidRPr="001C705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70E73" w:rsidRPr="001C7050" w:rsidRDefault="00370E73" w:rsidP="000136FF">
      <w:pPr>
        <w:pStyle w:val="Akapitzlist"/>
        <w:numPr>
          <w:ilvl w:val="0"/>
          <w:numId w:val="5"/>
        </w:numPr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wieczystej archiwizacji kartki katalogowe powinny być skanowane jako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tiff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, dopuszczalna kompresja bezstratna LZW,</w:t>
      </w:r>
    </w:p>
    <w:p w:rsidR="00370E73" w:rsidRPr="001C7050" w:rsidRDefault="00370E73" w:rsidP="000136FF">
      <w:pPr>
        <w:pStyle w:val="Akapitzlist"/>
        <w:numPr>
          <w:ilvl w:val="0"/>
          <w:numId w:val="5"/>
        </w:numPr>
        <w:spacing w:after="0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dodatkowo na potrzeby prezentacji w Internecie w systemie bazodanowym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skany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mają być zapisane w formacie JPEG lub GIF przy czym dopuszczalna jest kompresja z zachowaniem czytelności obrazu (tekstu). </w:t>
      </w:r>
    </w:p>
    <w:p w:rsidR="00370E73" w:rsidRPr="001C7050" w:rsidRDefault="009D261C" w:rsidP="000136FF">
      <w:pPr>
        <w:pStyle w:val="Akapitzlist"/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skanowanie w skali szarości, głębia 8 bitów</w:t>
      </w:r>
      <w:r w:rsidR="00FF14C3" w:rsidRPr="001C705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70E73" w:rsidRPr="001C7050" w:rsidRDefault="009D261C" w:rsidP="000136FF">
      <w:pPr>
        <w:pStyle w:val="Akapitzlist"/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rozdzielczość skanowania 300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dpi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370E73" w:rsidRPr="001C7050" w:rsidRDefault="009D261C" w:rsidP="000136FF">
      <w:pPr>
        <w:pStyle w:val="Akapitzlist"/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powinien odzwierciedlać rzeczywisty rozmiar obiektu, niedopuszczalne jest skalowanie plików</w:t>
      </w:r>
      <w:r w:rsidR="00F477FB" w:rsidRPr="001C70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477FB" w:rsidRPr="001C7050" w:rsidRDefault="00F477FB" w:rsidP="000136FF">
      <w:pPr>
        <w:pStyle w:val="Akapitzlist"/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obrazy kart przeznaczone do prezentacji w sieci Internet w oprogramowaniu bazodanowym powinny </w:t>
      </w:r>
      <w:r w:rsidR="002A49EB" w:rsidRPr="001C7050">
        <w:rPr>
          <w:rFonts w:ascii="Times New Roman" w:eastAsia="Times New Roman" w:hAnsi="Times New Roman"/>
          <w:sz w:val="24"/>
          <w:szCs w:val="24"/>
          <w:lang w:eastAsia="pl-PL"/>
        </w:rPr>
        <w:t>zostać</w:t>
      </w:r>
      <w:r w:rsidR="00150EB7"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ujednolicone w taki sposób aby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umożliwiać </w:t>
      </w:r>
      <w:r w:rsidR="00150EB7"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bezproblemowe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przeczytanie </w:t>
      </w:r>
      <w:r w:rsidR="00150EB7"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całej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treści kar</w:t>
      </w:r>
      <w:r w:rsidR="002A49EB" w:rsidRPr="001C7050">
        <w:rPr>
          <w:rFonts w:ascii="Times New Roman" w:eastAsia="Times New Roman" w:hAnsi="Times New Roman"/>
          <w:sz w:val="24"/>
          <w:szCs w:val="24"/>
          <w:lang w:eastAsia="pl-PL"/>
        </w:rPr>
        <w:t>ty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i jednocześnie </w:t>
      </w:r>
      <w:r w:rsidR="00150EB7" w:rsidRPr="001C7050">
        <w:rPr>
          <w:rFonts w:ascii="Times New Roman" w:eastAsia="Times New Roman" w:hAnsi="Times New Roman"/>
          <w:sz w:val="24"/>
          <w:szCs w:val="24"/>
          <w:lang w:eastAsia="pl-PL"/>
        </w:rPr>
        <w:t>nie męczyć wzroku, przy przeglądaniu wielu kart naraz, ciągłymi przeskokami od karty ciemnej do jasnej</w:t>
      </w:r>
      <w:r w:rsidR="002A49EB" w:rsidRPr="001C7050">
        <w:rPr>
          <w:rFonts w:ascii="Times New Roman" w:eastAsia="Times New Roman" w:hAnsi="Times New Roman"/>
          <w:sz w:val="24"/>
          <w:szCs w:val="24"/>
          <w:lang w:eastAsia="pl-PL"/>
        </w:rPr>
        <w:t>, od jasnej do ciemnej itd.</w:t>
      </w:r>
      <w:r w:rsidR="00160DEC" w:rsidRPr="001C705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D261C" w:rsidRPr="001C7050" w:rsidRDefault="009D261C" w:rsidP="000136FF">
      <w:pPr>
        <w:pStyle w:val="Akapitzlist"/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nazewnictwo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skanów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, pozwalające umiejscowić poszczególny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we właściwym katalogu i miejscu w nim, zostanie ustalone przez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w porozumieniu z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Wykonawcą, po podpisaniu umowy. </w:t>
      </w:r>
    </w:p>
    <w:p w:rsidR="00AC71C9" w:rsidRPr="001C7050" w:rsidRDefault="00AC71C9" w:rsidP="00AC71C9">
      <w:pPr>
        <w:pStyle w:val="Akapitzlist"/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261C" w:rsidRPr="001C7050" w:rsidRDefault="009D261C" w:rsidP="000136F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Skanowaniu podlegają wszystkie karty katalogowe znajdujące się w danej skrzynce katalogowej. Przekładki w danym katalogu mają być oddane w nazewnictwie karty i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strukturze folderów i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podfolderów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C71C9" w:rsidRPr="001C7050" w:rsidRDefault="00AC71C9" w:rsidP="00AC71C9">
      <w:pPr>
        <w:pStyle w:val="Akapitzlist"/>
        <w:spacing w:before="100" w:beforeAutospacing="1" w:after="100" w:afterAutospacing="1"/>
        <w:ind w:left="7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71C9" w:rsidRPr="001C7050" w:rsidRDefault="009D261C" w:rsidP="000136FF">
      <w:pPr>
        <w:pStyle w:val="Akapitzlist"/>
        <w:numPr>
          <w:ilvl w:val="0"/>
          <w:numId w:val="1"/>
        </w:numPr>
        <w:spacing w:before="100" w:before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 procesie skanowania: </w:t>
      </w:r>
    </w:p>
    <w:p w:rsidR="00517A82" w:rsidRPr="001C7050" w:rsidRDefault="009D261C" w:rsidP="000136FF">
      <w:pPr>
        <w:pStyle w:val="Akapitzlist"/>
        <w:numPr>
          <w:ilvl w:val="0"/>
          <w:numId w:val="6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rozkręca skrzynkę wyjmując bolec trzymający karty katalogowe, odkurza skrzynkę oraz karty katalogowe, skanuje karty katalogowe w niezmienionej kolejności, </w:t>
      </w:r>
    </w:p>
    <w:p w:rsidR="00517A82" w:rsidRPr="001C7050" w:rsidRDefault="009D261C" w:rsidP="000136FF">
      <w:pPr>
        <w:pStyle w:val="Akapitzlist"/>
        <w:numPr>
          <w:ilvl w:val="0"/>
          <w:numId w:val="6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nadaje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skanom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kart katalogowych niepowtarzalne, uzgodnione z Zamawiającym, nazwy plików i umieszcza w odpowiednim folderze/katalogu lub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podfolderze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/podkatalogu; </w:t>
      </w:r>
    </w:p>
    <w:p w:rsidR="00517A82" w:rsidRPr="001C7050" w:rsidRDefault="009D261C" w:rsidP="000136FF">
      <w:pPr>
        <w:pStyle w:val="Akapitzlist"/>
        <w:numPr>
          <w:ilvl w:val="0"/>
          <w:numId w:val="6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doprowadza skrzynkę katalogową do stanu pierwotnego wkładając do niej karty katalogowe i przekładki w oryginalnym ułożeniu; </w:t>
      </w:r>
    </w:p>
    <w:p w:rsidR="00517A82" w:rsidRPr="001C7050" w:rsidRDefault="009D261C" w:rsidP="000136FF">
      <w:pPr>
        <w:pStyle w:val="Akapitzlist"/>
        <w:numPr>
          <w:ilvl w:val="0"/>
          <w:numId w:val="6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jeśli podczas całego procesu skanowania jakakolwiek z kart ulegnie uszkodzeniu</w:t>
      </w:r>
      <w:r w:rsidRPr="001C705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lub przypadkowemu pomieszaniu ulegną kartki w skrzynce, wykonawca ma obowiązek poinformować o tym fakcie koordynatora i przekazać mu zniszczoną kartę lub skrzynkę do weryfikacji ustawienia kart i ponownego jej zeskanowania; </w:t>
      </w:r>
    </w:p>
    <w:p w:rsidR="009D261C" w:rsidRPr="001C7050" w:rsidRDefault="009D261C" w:rsidP="000136FF">
      <w:pPr>
        <w:pStyle w:val="Akapitzlist"/>
        <w:numPr>
          <w:ilvl w:val="0"/>
          <w:numId w:val="6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jeśli Wykonawca ma wątpliwości jakie działania powinien podjąć ma niezwłocznie skontaktować się z osobą wyznaczoną przez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C71C9" w:rsidRPr="001C7050" w:rsidRDefault="00AC71C9" w:rsidP="00AC71C9">
      <w:pPr>
        <w:pStyle w:val="Akapitzlist"/>
        <w:spacing w:before="100" w:beforeAutospacing="1" w:after="100" w:afterAutospacing="1"/>
        <w:ind w:left="12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261C" w:rsidRPr="001C7050" w:rsidRDefault="009D261C" w:rsidP="000136F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poprawności wykonywania zamówienia.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weryfikował wykonaną pracę kontrolując jakość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skanów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, w tym czytelność zeskanowanych kart katalogowych oraz ich kompletność względem każdej skrzynki katalogowej. Znalezione i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zweryfikowane błędy będą powodowały konieczność ponownego zeskanowania, podmienienia przez Wykonawcę zakwestionowanej karty lub skrzynki w przekazanej Zamawiającemu strukturze katalogów oraz w oprogramowaniu bazodanowym. Jeśli kontrola jakości wykaże niezgłoszone i/lub wielokrotne pomieszanie kart w skanowanych skrzynkach Zamawiający może nałożyć na Wykonawcę karę pieniężną w wysokości – zapisanej w umowie, której wzór stanowi integralną część SIWZ.</w:t>
      </w:r>
    </w:p>
    <w:p w:rsidR="00AC71C9" w:rsidRPr="001C7050" w:rsidRDefault="00AC71C9" w:rsidP="00AC71C9">
      <w:pPr>
        <w:pStyle w:val="Akapitzlist"/>
        <w:spacing w:before="100" w:beforeAutospacing="1" w:after="100" w:afterAutospacing="1"/>
        <w:ind w:left="7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7A82" w:rsidRPr="001C7050" w:rsidRDefault="009D261C" w:rsidP="000136F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Organizacja pracy</w:t>
      </w:r>
      <w:r w:rsidR="00517A82" w:rsidRPr="001C705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17A82" w:rsidRPr="001C7050" w:rsidRDefault="009D261C" w:rsidP="000136FF">
      <w:pPr>
        <w:pStyle w:val="Akapitzlist"/>
        <w:numPr>
          <w:ilvl w:val="1"/>
          <w:numId w:val="7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wykonuje usługę w siedzibie Zamawiającego. Zobowiązany jest odebrać i zwrócić skrzynki katalogowe pracownikowi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</w:p>
    <w:p w:rsidR="00517A82" w:rsidRPr="001C7050" w:rsidRDefault="009D261C" w:rsidP="000136FF">
      <w:pPr>
        <w:pStyle w:val="Akapitzlist"/>
        <w:numPr>
          <w:ilvl w:val="1"/>
          <w:numId w:val="7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Każdorazowo podczas przekazywania skrzynek Wykonawcy będzie podpisywany Protokół przekazania potwierdzający ilość przekazywanych skrzynek oraz poświadczający prawidłowy układ kart katalogowych w skrzynce </w:t>
      </w:r>
    </w:p>
    <w:p w:rsidR="009D261C" w:rsidRPr="001C7050" w:rsidRDefault="009D261C" w:rsidP="000136FF">
      <w:pPr>
        <w:pStyle w:val="Akapitzlist"/>
        <w:numPr>
          <w:ilvl w:val="1"/>
          <w:numId w:val="7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zobowiązana jest do przygotowania do przekazania określonej liczby skrzynek, tak aby zachować ciągłość pracy. </w:t>
      </w:r>
    </w:p>
    <w:p w:rsidR="00AC71C9" w:rsidRPr="001C7050" w:rsidRDefault="00AC71C9" w:rsidP="00AC71C9">
      <w:pPr>
        <w:pStyle w:val="Akapitzlist"/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261C" w:rsidRPr="001C7050" w:rsidRDefault="009D261C" w:rsidP="000136F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Wymagania względem oprogramowania bazodanowego</w:t>
      </w:r>
      <w:r w:rsidR="00D923E1" w:rsidRPr="001C705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9D261C" w:rsidRPr="001C7050" w:rsidRDefault="009D261C" w:rsidP="000136FF">
      <w:pPr>
        <w:pStyle w:val="Akapitzlist"/>
        <w:numPr>
          <w:ilvl w:val="1"/>
          <w:numId w:val="1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Oprogramowanie bazodanowe udostępniające zeskanowane katalogi w sieci Internet powinno pozwalać użytkownikowi przeglądać karty katalogowe wg wybranego rodzaju katalogu i jego usystematyzowania, tj. liter lub działów, struktury przekładek </w:t>
      </w:r>
      <w:r w:rsidR="00F9644F"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w kolejności kart odpowiadającej kolejności w istniejącym katalogu kartkowym. Oprogramowanie powinno </w:t>
      </w:r>
      <w:r w:rsidR="00F9644F"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również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umożliwiać przejście do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odpowiednego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miejsca w strukturze udostępnionych katalogów także poprzez wyszukanie jego na podstawie słów kluczowych z tytułów działów i przekładek danego katalogu. Po wybraniu konkretnej karty publikacji użytkownik musi mieć możliwość zdalnego zamówienia tej pozycji. Zamawiający uzna ten warunek za zrealizowany jeśli na adres mailowy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wysłana zostanie informacja kto (z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jakiego maila) i co zamawia. Mail może zawierać obraz karty z katalogu, uwagi od użytkownika i jego adres e-mail. Użytkownik musi mieć </w:t>
      </w:r>
      <w:r w:rsidR="00A52D55">
        <w:rPr>
          <w:rFonts w:ascii="Times New Roman" w:eastAsia="Times New Roman" w:hAnsi="Times New Roman"/>
          <w:sz w:val="24"/>
          <w:szCs w:val="24"/>
          <w:lang w:eastAsia="pl-PL"/>
        </w:rPr>
        <w:t>także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możliwość przesłania dodatkowych informacji, np. typu kiedy chciałby przyjść do biblioteki, 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zamawiania czasopisma przesłanie informacji jakie tomy czy zeszyty zamawia do czytelni. System musi zawierać klauzule zgodne z przepisami RODO. Natomiast pracownik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musi mieć możliwość przesłania informacji zwrotnej do użytkownika zamawiającego daną pozycję. Funkcja zamawiania może być zrealizowana także w inny uzgodniony z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 sposób, np. z wykorzystaniem zintegrowanego systemu bibliotecznego </w:t>
      </w:r>
      <w:r w:rsidR="00A52D55">
        <w:rPr>
          <w:rFonts w:ascii="Times New Roman" w:eastAsia="Times New Roman" w:hAnsi="Times New Roman"/>
          <w:sz w:val="24"/>
          <w:szCs w:val="24"/>
          <w:lang w:eastAsia="pl-PL"/>
        </w:rPr>
        <w:t xml:space="preserve">zainstalowanego w </w:t>
      </w:r>
      <w:proofErr w:type="spellStart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CBGiOŚ</w:t>
      </w:r>
      <w:proofErr w:type="spellEnd"/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517A82" w:rsidRPr="001C7050" w:rsidRDefault="009D261C" w:rsidP="000136FF">
      <w:pPr>
        <w:pStyle w:val="Akapitzlist"/>
        <w:numPr>
          <w:ilvl w:val="1"/>
          <w:numId w:val="1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Dostarczone oprogramowanie bazodanowe powinno posiadać interfejs zarz</w:t>
      </w:r>
      <w:r w:rsidR="00F9644F" w:rsidRPr="001C705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dzania kartami pozwalający uprawnionym pracownikom, w każdym z udostępnionych w</w:t>
      </w:r>
      <w:r w:rsidR="001C705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Internecie katalogów, na: </w:t>
      </w:r>
    </w:p>
    <w:p w:rsidR="00AC71C9" w:rsidRPr="001C7050" w:rsidRDefault="00AC71C9" w:rsidP="000136FF">
      <w:pPr>
        <w:pStyle w:val="Akapitzlist"/>
        <w:numPr>
          <w:ilvl w:val="0"/>
          <w:numId w:val="8"/>
        </w:numPr>
        <w:spacing w:before="100" w:beforeAutospacing="1" w:after="100" w:afterAutospacing="1"/>
        <w:ind w:left="156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wygodne dodawanie, przestawianie, usuwanie wybranych kart katalogowych, </w:t>
      </w:r>
    </w:p>
    <w:p w:rsidR="00AC71C9" w:rsidRPr="001C7050" w:rsidRDefault="00AC71C9" w:rsidP="000136FF">
      <w:pPr>
        <w:pStyle w:val="Akapitzlist"/>
        <w:numPr>
          <w:ilvl w:val="0"/>
          <w:numId w:val="8"/>
        </w:numPr>
        <w:spacing w:before="100" w:beforeAutospacing="1" w:after="100" w:afterAutospacing="1"/>
        <w:ind w:left="156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wygodne dodawanie i usuwanie terminów wyszukiwawczych/ słów kluczowych.</w:t>
      </w:r>
    </w:p>
    <w:p w:rsidR="00050ACE" w:rsidRPr="001C7050" w:rsidRDefault="009D261C" w:rsidP="000136FF">
      <w:pPr>
        <w:pStyle w:val="Akapitzlist"/>
        <w:numPr>
          <w:ilvl w:val="1"/>
          <w:numId w:val="1"/>
        </w:numPr>
        <w:spacing w:before="100" w:beforeAutospacing="1" w:after="100" w:afterAutospacing="1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>Dostarczone oprogramowanie bazodanowe musi pozwalać na łatwe generowanie nowej karty z przygotowanego wg ustalonych wymagań pliku standardowego procesora tekstu.</w:t>
      </w:r>
    </w:p>
    <w:p w:rsidR="00050ACE" w:rsidRPr="001C7050" w:rsidRDefault="009D261C" w:rsidP="000136FF">
      <w:pPr>
        <w:pStyle w:val="Akapitzlist"/>
        <w:numPr>
          <w:ilvl w:val="1"/>
          <w:numId w:val="1"/>
        </w:numPr>
        <w:spacing w:before="100" w:beforeAutospacing="1" w:after="100" w:afterAutospacing="1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Parametry techniczne oprogramowania bazodanowego: </w:t>
      </w:r>
    </w:p>
    <w:p w:rsidR="00E14C51" w:rsidRPr="001C7050" w:rsidRDefault="009D261C" w:rsidP="009D0E47">
      <w:pPr>
        <w:pStyle w:val="Akapitzlist"/>
        <w:spacing w:before="100" w:beforeAutospacing="1" w:after="100" w:afterAutospacing="1"/>
        <w:ind w:left="851"/>
        <w:jc w:val="both"/>
        <w:rPr>
          <w:rFonts w:ascii="Times New Roman" w:hAnsi="Times New Roman"/>
          <w:sz w:val="24"/>
          <w:szCs w:val="24"/>
        </w:rPr>
      </w:pPr>
      <w:r w:rsidRPr="001C7050">
        <w:rPr>
          <w:rFonts w:ascii="Times New Roman" w:eastAsia="Times New Roman" w:hAnsi="Times New Roman"/>
          <w:sz w:val="24"/>
          <w:szCs w:val="24"/>
          <w:lang w:eastAsia="pl-PL"/>
        </w:rPr>
        <w:t xml:space="preserve">Oprogramowanie musi mieć interfejs co najmniej w języku polskim i angielskim. </w:t>
      </w:r>
      <w:r w:rsidRPr="001C7050">
        <w:rPr>
          <w:rFonts w:ascii="Times New Roman" w:hAnsi="Times New Roman"/>
          <w:sz w:val="24"/>
          <w:szCs w:val="24"/>
        </w:rPr>
        <w:t>Powinno spełniać współczesne standardy, w szczególności nie może wymagać instalacji oprogramowania i bibliotek, dla których zakończone zostało już wsparcie lub wsparcie wkrótce wygaśnie.</w:t>
      </w:r>
    </w:p>
    <w:sectPr w:rsidR="00E14C51" w:rsidRPr="001C7050" w:rsidSect="009F7D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89" w:rsidRDefault="00F72D89" w:rsidP="000B2E5A">
      <w:pPr>
        <w:spacing w:after="0" w:line="240" w:lineRule="auto"/>
      </w:pPr>
      <w:r>
        <w:separator/>
      </w:r>
    </w:p>
  </w:endnote>
  <w:endnote w:type="continuationSeparator" w:id="0">
    <w:p w:rsidR="00F72D89" w:rsidRDefault="00F72D89" w:rsidP="000B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83" w:rsidRDefault="00115AAF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5760720" cy="490855"/>
          <wp:effectExtent l="19050" t="0" r="0" b="0"/>
          <wp:docPr id="1" name="Obraz 0" descr="stopki_IGiP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i_IGiP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0ECB">
      <w:fldChar w:fldCharType="begin"/>
    </w:r>
    <w:r w:rsidR="00EB57FF">
      <w:instrText xml:space="preserve"> PAGE   \* MERGEFORMAT </w:instrText>
    </w:r>
    <w:r w:rsidR="005D0ECB">
      <w:fldChar w:fldCharType="separate"/>
    </w:r>
    <w:r w:rsidR="005535B5">
      <w:rPr>
        <w:noProof/>
      </w:rPr>
      <w:t>5</w:t>
    </w:r>
    <w:r w:rsidR="005D0ECB">
      <w:rPr>
        <w:noProof/>
      </w:rPr>
      <w:fldChar w:fldCharType="end"/>
    </w:r>
  </w:p>
  <w:p w:rsidR="00B00583" w:rsidRDefault="00B005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89" w:rsidRDefault="00F72D89" w:rsidP="000B2E5A">
      <w:pPr>
        <w:spacing w:after="0" w:line="240" w:lineRule="auto"/>
      </w:pPr>
      <w:r>
        <w:separator/>
      </w:r>
    </w:p>
  </w:footnote>
  <w:footnote w:type="continuationSeparator" w:id="0">
    <w:p w:rsidR="00F72D89" w:rsidRDefault="00F72D89" w:rsidP="000B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10" w:rsidRPr="00417F10" w:rsidRDefault="00417F10" w:rsidP="00417F10">
    <w:pPr>
      <w:pStyle w:val="Nagwek"/>
      <w:jc w:val="right"/>
      <w:rPr>
        <w:rFonts w:ascii="Times New Roman" w:hAnsi="Times New Roman"/>
      </w:rPr>
    </w:pPr>
    <w:r w:rsidRPr="00417F10">
      <w:rPr>
        <w:rFonts w:ascii="Times New Roman" w:hAnsi="Times New Roman"/>
      </w:rPr>
      <w:t xml:space="preserve">                                                                                                </w:t>
    </w:r>
    <w:r w:rsidRPr="00407672">
      <w:rPr>
        <w:rFonts w:ascii="Times New Roman" w:hAnsi="Times New Roman"/>
      </w:rPr>
      <w:t>Znak sprawy: AD-262-</w:t>
    </w:r>
    <w:r w:rsidR="00407672" w:rsidRPr="00407672">
      <w:rPr>
        <w:rFonts w:ascii="Times New Roman" w:hAnsi="Times New Roman"/>
      </w:rPr>
      <w:t>2</w:t>
    </w:r>
    <w:r w:rsidRPr="00407672">
      <w:rPr>
        <w:rFonts w:ascii="Times New Roman" w:hAnsi="Times New Roman"/>
      </w:rPr>
      <w:t>/20</w:t>
    </w:r>
    <w:r w:rsidR="00407672" w:rsidRPr="00407672">
      <w:rPr>
        <w:rFonts w:ascii="Times New Roman" w:hAnsi="Times New Roman"/>
      </w:rPr>
      <w:t>20</w:t>
    </w:r>
  </w:p>
  <w:p w:rsidR="00B00583" w:rsidRPr="00417F10" w:rsidRDefault="00B00583" w:rsidP="00417F10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A25"/>
    <w:multiLevelType w:val="hybridMultilevel"/>
    <w:tmpl w:val="A150E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E34A21"/>
    <w:multiLevelType w:val="hybridMultilevel"/>
    <w:tmpl w:val="32C419B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A0C5142"/>
    <w:multiLevelType w:val="hybridMultilevel"/>
    <w:tmpl w:val="0C9653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ED56CA9"/>
    <w:multiLevelType w:val="hybridMultilevel"/>
    <w:tmpl w:val="DA6AAA1C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370A2A51"/>
    <w:multiLevelType w:val="hybridMultilevel"/>
    <w:tmpl w:val="2F8A1C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FD124B8"/>
    <w:multiLevelType w:val="hybridMultilevel"/>
    <w:tmpl w:val="1CE497DE"/>
    <w:lvl w:ilvl="0" w:tplc="A4A28962">
      <w:start w:val="1"/>
      <w:numFmt w:val="decimal"/>
      <w:lvlText w:val="%1."/>
      <w:lvlJc w:val="left"/>
      <w:pPr>
        <w:ind w:left="2204" w:hanging="360"/>
      </w:pPr>
      <w:rPr>
        <w:b w:val="0"/>
        <w:sz w:val="24"/>
      </w:rPr>
    </w:lvl>
    <w:lvl w:ilvl="1" w:tplc="30F2F8C8">
      <w:start w:val="1"/>
      <w:numFmt w:val="decimal"/>
      <w:lvlText w:val="%2)"/>
      <w:lvlJc w:val="left"/>
      <w:pPr>
        <w:ind w:left="1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66341FC3"/>
    <w:multiLevelType w:val="hybridMultilevel"/>
    <w:tmpl w:val="63B8E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B74E9"/>
    <w:multiLevelType w:val="hybridMultilevel"/>
    <w:tmpl w:val="72E081AE"/>
    <w:lvl w:ilvl="0" w:tplc="4D3C73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27743"/>
    <w:multiLevelType w:val="hybridMultilevel"/>
    <w:tmpl w:val="240667AA"/>
    <w:lvl w:ilvl="0" w:tplc="04150017">
      <w:start w:val="1"/>
      <w:numFmt w:val="lowerLetter"/>
      <w:lvlText w:val="%1)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tajer">
    <w15:presenceInfo w15:providerId="None" w15:userId="sztaj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27D8"/>
    <w:rsid w:val="00003987"/>
    <w:rsid w:val="00005B94"/>
    <w:rsid w:val="000136FF"/>
    <w:rsid w:val="00017D97"/>
    <w:rsid w:val="000223FC"/>
    <w:rsid w:val="00025B84"/>
    <w:rsid w:val="00025BD6"/>
    <w:rsid w:val="000435DF"/>
    <w:rsid w:val="00046EB9"/>
    <w:rsid w:val="00050ACE"/>
    <w:rsid w:val="00065C4F"/>
    <w:rsid w:val="000744D7"/>
    <w:rsid w:val="000B2E5A"/>
    <w:rsid w:val="000B5025"/>
    <w:rsid w:val="000D0876"/>
    <w:rsid w:val="000E218D"/>
    <w:rsid w:val="000E2AEB"/>
    <w:rsid w:val="000E5676"/>
    <w:rsid w:val="000F58CA"/>
    <w:rsid w:val="00112135"/>
    <w:rsid w:val="00114D17"/>
    <w:rsid w:val="00115AAF"/>
    <w:rsid w:val="00117D31"/>
    <w:rsid w:val="001235BB"/>
    <w:rsid w:val="001310A9"/>
    <w:rsid w:val="0014391F"/>
    <w:rsid w:val="0014587C"/>
    <w:rsid w:val="00150EB7"/>
    <w:rsid w:val="00152E4E"/>
    <w:rsid w:val="0015681B"/>
    <w:rsid w:val="00160DEC"/>
    <w:rsid w:val="001651F3"/>
    <w:rsid w:val="00167E89"/>
    <w:rsid w:val="0017263B"/>
    <w:rsid w:val="00181894"/>
    <w:rsid w:val="00192282"/>
    <w:rsid w:val="001C625E"/>
    <w:rsid w:val="001C7050"/>
    <w:rsid w:val="001D5C7A"/>
    <w:rsid w:val="001F742D"/>
    <w:rsid w:val="002125BA"/>
    <w:rsid w:val="00216E28"/>
    <w:rsid w:val="00220323"/>
    <w:rsid w:val="002278AC"/>
    <w:rsid w:val="00237539"/>
    <w:rsid w:val="00237AAF"/>
    <w:rsid w:val="00261B16"/>
    <w:rsid w:val="00271129"/>
    <w:rsid w:val="00273A3F"/>
    <w:rsid w:val="00283979"/>
    <w:rsid w:val="002A1603"/>
    <w:rsid w:val="002A49EB"/>
    <w:rsid w:val="002A6988"/>
    <w:rsid w:val="002B11DB"/>
    <w:rsid w:val="002B39C7"/>
    <w:rsid w:val="002C0047"/>
    <w:rsid w:val="002C05E3"/>
    <w:rsid w:val="002C631C"/>
    <w:rsid w:val="002C6DE6"/>
    <w:rsid w:val="002C77CD"/>
    <w:rsid w:val="002D179A"/>
    <w:rsid w:val="002D1E80"/>
    <w:rsid w:val="002F2DFE"/>
    <w:rsid w:val="002F380B"/>
    <w:rsid w:val="00313283"/>
    <w:rsid w:val="0033107E"/>
    <w:rsid w:val="00336F44"/>
    <w:rsid w:val="00346697"/>
    <w:rsid w:val="00354558"/>
    <w:rsid w:val="00362A27"/>
    <w:rsid w:val="00367C99"/>
    <w:rsid w:val="00370E73"/>
    <w:rsid w:val="00372191"/>
    <w:rsid w:val="00391785"/>
    <w:rsid w:val="00394BC7"/>
    <w:rsid w:val="003B07A9"/>
    <w:rsid w:val="003B2A25"/>
    <w:rsid w:val="003C391C"/>
    <w:rsid w:val="003D4AEE"/>
    <w:rsid w:val="003E13A9"/>
    <w:rsid w:val="003E15D4"/>
    <w:rsid w:val="003F0181"/>
    <w:rsid w:val="003F4CCD"/>
    <w:rsid w:val="003F730B"/>
    <w:rsid w:val="00407005"/>
    <w:rsid w:val="00407672"/>
    <w:rsid w:val="00417F10"/>
    <w:rsid w:val="004268D8"/>
    <w:rsid w:val="00436EE2"/>
    <w:rsid w:val="004468FA"/>
    <w:rsid w:val="00451A70"/>
    <w:rsid w:val="0046413C"/>
    <w:rsid w:val="0047130D"/>
    <w:rsid w:val="0047337E"/>
    <w:rsid w:val="00475ECE"/>
    <w:rsid w:val="00493861"/>
    <w:rsid w:val="00493B0A"/>
    <w:rsid w:val="004A1F1C"/>
    <w:rsid w:val="004B07C8"/>
    <w:rsid w:val="004B7A13"/>
    <w:rsid w:val="004E27B4"/>
    <w:rsid w:val="00503DF2"/>
    <w:rsid w:val="005061F3"/>
    <w:rsid w:val="0051143B"/>
    <w:rsid w:val="0051156A"/>
    <w:rsid w:val="00517A82"/>
    <w:rsid w:val="00522D19"/>
    <w:rsid w:val="00527104"/>
    <w:rsid w:val="005446B7"/>
    <w:rsid w:val="00550093"/>
    <w:rsid w:val="005535B5"/>
    <w:rsid w:val="00554A6E"/>
    <w:rsid w:val="00560874"/>
    <w:rsid w:val="00563811"/>
    <w:rsid w:val="0057260C"/>
    <w:rsid w:val="00582643"/>
    <w:rsid w:val="0059184B"/>
    <w:rsid w:val="00595759"/>
    <w:rsid w:val="005963DE"/>
    <w:rsid w:val="005A2C2D"/>
    <w:rsid w:val="005C1E8D"/>
    <w:rsid w:val="005C3A10"/>
    <w:rsid w:val="005C5452"/>
    <w:rsid w:val="005D0ECB"/>
    <w:rsid w:val="005D5DAB"/>
    <w:rsid w:val="005E0434"/>
    <w:rsid w:val="005E0657"/>
    <w:rsid w:val="005F2B23"/>
    <w:rsid w:val="005F6B5D"/>
    <w:rsid w:val="00601358"/>
    <w:rsid w:val="006066CC"/>
    <w:rsid w:val="006112F1"/>
    <w:rsid w:val="00615AA8"/>
    <w:rsid w:val="00634388"/>
    <w:rsid w:val="00645F68"/>
    <w:rsid w:val="0064711A"/>
    <w:rsid w:val="00650D9B"/>
    <w:rsid w:val="0065301B"/>
    <w:rsid w:val="00660543"/>
    <w:rsid w:val="0066651F"/>
    <w:rsid w:val="00666A9E"/>
    <w:rsid w:val="00676603"/>
    <w:rsid w:val="0068309C"/>
    <w:rsid w:val="00694561"/>
    <w:rsid w:val="006977B8"/>
    <w:rsid w:val="006B1F07"/>
    <w:rsid w:val="006E0864"/>
    <w:rsid w:val="006E30DD"/>
    <w:rsid w:val="006E4D74"/>
    <w:rsid w:val="006E5D28"/>
    <w:rsid w:val="006E6EAC"/>
    <w:rsid w:val="006F51BA"/>
    <w:rsid w:val="006F561F"/>
    <w:rsid w:val="00700DE6"/>
    <w:rsid w:val="007045C7"/>
    <w:rsid w:val="00704D14"/>
    <w:rsid w:val="007168C6"/>
    <w:rsid w:val="00717671"/>
    <w:rsid w:val="007367C9"/>
    <w:rsid w:val="00737337"/>
    <w:rsid w:val="00737B39"/>
    <w:rsid w:val="00744664"/>
    <w:rsid w:val="007577ED"/>
    <w:rsid w:val="007830BB"/>
    <w:rsid w:val="007C27D8"/>
    <w:rsid w:val="007C4583"/>
    <w:rsid w:val="007C6B53"/>
    <w:rsid w:val="007D56D0"/>
    <w:rsid w:val="00810D28"/>
    <w:rsid w:val="00816F3D"/>
    <w:rsid w:val="008237D5"/>
    <w:rsid w:val="00847565"/>
    <w:rsid w:val="0086085D"/>
    <w:rsid w:val="0086519A"/>
    <w:rsid w:val="008679D7"/>
    <w:rsid w:val="00872CE5"/>
    <w:rsid w:val="008913DE"/>
    <w:rsid w:val="00896195"/>
    <w:rsid w:val="008A2779"/>
    <w:rsid w:val="008A5292"/>
    <w:rsid w:val="008D25D0"/>
    <w:rsid w:val="008D3B97"/>
    <w:rsid w:val="008E042E"/>
    <w:rsid w:val="008F4EEE"/>
    <w:rsid w:val="00904AF4"/>
    <w:rsid w:val="00912DD5"/>
    <w:rsid w:val="009273E6"/>
    <w:rsid w:val="0093037F"/>
    <w:rsid w:val="009607D5"/>
    <w:rsid w:val="00963102"/>
    <w:rsid w:val="00966E44"/>
    <w:rsid w:val="0097515E"/>
    <w:rsid w:val="00983E84"/>
    <w:rsid w:val="00996F31"/>
    <w:rsid w:val="009C4A85"/>
    <w:rsid w:val="009C4C7A"/>
    <w:rsid w:val="009D0E47"/>
    <w:rsid w:val="009D261C"/>
    <w:rsid w:val="009E1B1D"/>
    <w:rsid w:val="009E1EF6"/>
    <w:rsid w:val="009F16A7"/>
    <w:rsid w:val="009F258C"/>
    <w:rsid w:val="009F74A7"/>
    <w:rsid w:val="009F7DA4"/>
    <w:rsid w:val="009F7F3A"/>
    <w:rsid w:val="00A03E26"/>
    <w:rsid w:val="00A11512"/>
    <w:rsid w:val="00A116D7"/>
    <w:rsid w:val="00A1689B"/>
    <w:rsid w:val="00A52594"/>
    <w:rsid w:val="00A52D55"/>
    <w:rsid w:val="00A57986"/>
    <w:rsid w:val="00A81AE8"/>
    <w:rsid w:val="00A82D54"/>
    <w:rsid w:val="00A904CD"/>
    <w:rsid w:val="00A93D34"/>
    <w:rsid w:val="00AA65B5"/>
    <w:rsid w:val="00AC71C9"/>
    <w:rsid w:val="00AE0E51"/>
    <w:rsid w:val="00AE7371"/>
    <w:rsid w:val="00AF6B0E"/>
    <w:rsid w:val="00B00583"/>
    <w:rsid w:val="00B04929"/>
    <w:rsid w:val="00B07077"/>
    <w:rsid w:val="00B0794E"/>
    <w:rsid w:val="00B209F4"/>
    <w:rsid w:val="00B24625"/>
    <w:rsid w:val="00B2686D"/>
    <w:rsid w:val="00B71C36"/>
    <w:rsid w:val="00B83100"/>
    <w:rsid w:val="00B83A0F"/>
    <w:rsid w:val="00B90B96"/>
    <w:rsid w:val="00B932DF"/>
    <w:rsid w:val="00BB5BA6"/>
    <w:rsid w:val="00BB6C52"/>
    <w:rsid w:val="00BC0FA8"/>
    <w:rsid w:val="00BC446F"/>
    <w:rsid w:val="00BD1E8B"/>
    <w:rsid w:val="00BE1810"/>
    <w:rsid w:val="00BE5EFB"/>
    <w:rsid w:val="00BF54DA"/>
    <w:rsid w:val="00C01619"/>
    <w:rsid w:val="00C048B4"/>
    <w:rsid w:val="00C110A2"/>
    <w:rsid w:val="00C16570"/>
    <w:rsid w:val="00C343A9"/>
    <w:rsid w:val="00C37DD3"/>
    <w:rsid w:val="00C407E0"/>
    <w:rsid w:val="00C45B8F"/>
    <w:rsid w:val="00C5004B"/>
    <w:rsid w:val="00C563B5"/>
    <w:rsid w:val="00C62F26"/>
    <w:rsid w:val="00C7293C"/>
    <w:rsid w:val="00C80319"/>
    <w:rsid w:val="00C80F91"/>
    <w:rsid w:val="00C90FCB"/>
    <w:rsid w:val="00C932EC"/>
    <w:rsid w:val="00C93363"/>
    <w:rsid w:val="00C95E7E"/>
    <w:rsid w:val="00CA33FE"/>
    <w:rsid w:val="00CA3D72"/>
    <w:rsid w:val="00CA4563"/>
    <w:rsid w:val="00CB0DB2"/>
    <w:rsid w:val="00CC6D63"/>
    <w:rsid w:val="00CD2A4E"/>
    <w:rsid w:val="00CD63E5"/>
    <w:rsid w:val="00CF0B72"/>
    <w:rsid w:val="00CF6F27"/>
    <w:rsid w:val="00D00EAB"/>
    <w:rsid w:val="00D331B0"/>
    <w:rsid w:val="00D43690"/>
    <w:rsid w:val="00D47C4F"/>
    <w:rsid w:val="00D64165"/>
    <w:rsid w:val="00D66337"/>
    <w:rsid w:val="00D7464D"/>
    <w:rsid w:val="00D7689D"/>
    <w:rsid w:val="00D82BD7"/>
    <w:rsid w:val="00D84A11"/>
    <w:rsid w:val="00D923E1"/>
    <w:rsid w:val="00D94BAD"/>
    <w:rsid w:val="00DC15EF"/>
    <w:rsid w:val="00DD672B"/>
    <w:rsid w:val="00DF406F"/>
    <w:rsid w:val="00E01926"/>
    <w:rsid w:val="00E03D29"/>
    <w:rsid w:val="00E14777"/>
    <w:rsid w:val="00E14C51"/>
    <w:rsid w:val="00E15E82"/>
    <w:rsid w:val="00E31C23"/>
    <w:rsid w:val="00E3582D"/>
    <w:rsid w:val="00E3632A"/>
    <w:rsid w:val="00E40568"/>
    <w:rsid w:val="00E456AB"/>
    <w:rsid w:val="00E47568"/>
    <w:rsid w:val="00E47BFA"/>
    <w:rsid w:val="00E6275B"/>
    <w:rsid w:val="00E71617"/>
    <w:rsid w:val="00EA6500"/>
    <w:rsid w:val="00EA7DDF"/>
    <w:rsid w:val="00EB57FF"/>
    <w:rsid w:val="00EC406C"/>
    <w:rsid w:val="00EE0826"/>
    <w:rsid w:val="00EF21C1"/>
    <w:rsid w:val="00F02BB4"/>
    <w:rsid w:val="00F14399"/>
    <w:rsid w:val="00F2609F"/>
    <w:rsid w:val="00F341A7"/>
    <w:rsid w:val="00F419BE"/>
    <w:rsid w:val="00F477FB"/>
    <w:rsid w:val="00F62942"/>
    <w:rsid w:val="00F64B16"/>
    <w:rsid w:val="00F71000"/>
    <w:rsid w:val="00F72D89"/>
    <w:rsid w:val="00F7618A"/>
    <w:rsid w:val="00F76818"/>
    <w:rsid w:val="00F9249F"/>
    <w:rsid w:val="00F9644F"/>
    <w:rsid w:val="00FA510B"/>
    <w:rsid w:val="00FA6DF8"/>
    <w:rsid w:val="00FB0077"/>
    <w:rsid w:val="00FB0578"/>
    <w:rsid w:val="00FB27E9"/>
    <w:rsid w:val="00FB7BB6"/>
    <w:rsid w:val="00FC1FF7"/>
    <w:rsid w:val="00FD2F23"/>
    <w:rsid w:val="00FD7420"/>
    <w:rsid w:val="00FF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DA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7D8"/>
    <w:pPr>
      <w:ind w:left="720"/>
      <w:contextualSpacing/>
    </w:pPr>
  </w:style>
  <w:style w:type="paragraph" w:customStyle="1" w:styleId="Default">
    <w:name w:val="Default"/>
    <w:uiPriority w:val="99"/>
    <w:rsid w:val="007C27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CC6D6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C6D63"/>
    <w:rPr>
      <w:rFonts w:ascii="Arial" w:hAnsi="Arial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B07C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181894"/>
    <w:rPr>
      <w:lang w:eastAsia="en-US"/>
    </w:rPr>
  </w:style>
  <w:style w:type="table" w:styleId="Tabela-Siatka">
    <w:name w:val="Table Grid"/>
    <w:basedOn w:val="Standardowy"/>
    <w:uiPriority w:val="99"/>
    <w:rsid w:val="003E13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uiPriority w:val="99"/>
    <w:rsid w:val="00D82BD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B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B2E5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2E5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DA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7D8"/>
    <w:pPr>
      <w:ind w:left="720"/>
      <w:contextualSpacing/>
    </w:pPr>
  </w:style>
  <w:style w:type="paragraph" w:customStyle="1" w:styleId="Default">
    <w:name w:val="Default"/>
    <w:uiPriority w:val="99"/>
    <w:rsid w:val="007C27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CC6D6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C6D63"/>
    <w:rPr>
      <w:rFonts w:ascii="Arial" w:hAnsi="Arial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B07C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181894"/>
    <w:rPr>
      <w:lang w:eastAsia="en-US"/>
    </w:rPr>
  </w:style>
  <w:style w:type="table" w:styleId="Tabela-Siatka">
    <w:name w:val="Table Grid"/>
    <w:basedOn w:val="Standardowy"/>
    <w:uiPriority w:val="99"/>
    <w:rsid w:val="003E13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D82BD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B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B2E5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2E5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E3CF7-7E13-4DCE-904D-194B8919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Kompleksowa organizacja krajowych i zagranicznych podróży służbowych dla IGiPZ PAN</vt:lpstr>
    </vt:vector>
  </TitlesOfParts>
  <Company>Microsoft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Kompleksowa organizacja krajowych i zagranicznych podróży służbowych dla IGiPZ PAN</dc:title>
  <dc:creator>Magda</dc:creator>
  <cp:lastModifiedBy>g.franaszek</cp:lastModifiedBy>
  <cp:revision>4</cp:revision>
  <cp:lastPrinted>2018-10-25T09:20:00Z</cp:lastPrinted>
  <dcterms:created xsi:type="dcterms:W3CDTF">2020-06-26T08:45:00Z</dcterms:created>
  <dcterms:modified xsi:type="dcterms:W3CDTF">2020-06-26T11:22:00Z</dcterms:modified>
</cp:coreProperties>
</file>